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A22F9" w:rsidRDefault="00000000">
      <w:pPr>
        <w:spacing w:before="240" w:after="240" w:line="240" w:lineRule="auto"/>
        <w:jc w:val="center"/>
        <w:rPr>
          <w:sz w:val="21"/>
          <w:szCs w:val="21"/>
        </w:rPr>
      </w:pPr>
      <w:r>
        <w:rPr>
          <w:rFonts w:ascii="Arial Unicode MS" w:eastAsia="Arial Unicode MS" w:hAnsi="Arial Unicode MS" w:cs="Arial Unicode MS"/>
          <w:b/>
          <w:bCs/>
          <w:sz w:val="24"/>
          <w:szCs w:val="24"/>
        </w:rPr>
        <w:t>完全オンライン・パーキンソン病コホートにおける「ロコトレ」と</w:t>
      </w:r>
      <w:r>
        <w:rPr>
          <w:rFonts w:ascii="Arial Unicode MS" w:eastAsia="Arial Unicode MS" w:hAnsi="Arial Unicode MS" w:cs="Arial Unicode MS"/>
          <w:b/>
          <w:bCs/>
          <w:sz w:val="24"/>
          <w:szCs w:val="24"/>
        </w:rPr>
        <w:br/>
        <w:t>多職種連携の縦断的効果</w:t>
      </w:r>
      <w:r>
        <w:rPr>
          <w:sz w:val="24"/>
          <w:szCs w:val="24"/>
        </w:rPr>
        <w:t xml:space="preserve"> </w:t>
      </w:r>
      <w:r>
        <w:rPr>
          <w:sz w:val="24"/>
          <w:szCs w:val="24"/>
        </w:rPr>
        <w:br/>
      </w:r>
      <w:r>
        <w:rPr>
          <w:rFonts w:ascii="Arial Unicode MS" w:eastAsia="Arial Unicode MS" w:hAnsi="Arial Unicode MS" w:cs="Arial Unicode MS"/>
          <w:sz w:val="21"/>
          <w:szCs w:val="21"/>
        </w:rPr>
        <w:t>〜 月次モニタリングによる早期予防モデル 〜</w:t>
      </w:r>
    </w:p>
    <w:p w14:paraId="00000002" w14:textId="77777777" w:rsidR="00BA22F9" w:rsidRDefault="00000000">
      <w:pPr>
        <w:spacing w:before="240" w:after="240" w:line="240" w:lineRule="auto"/>
        <w:jc w:val="right"/>
        <w:rPr>
          <w:sz w:val="21"/>
          <w:szCs w:val="21"/>
        </w:rPr>
      </w:pPr>
      <w:r>
        <w:rPr>
          <w:rFonts w:ascii="Arial Unicode MS" w:eastAsia="Arial Unicode MS" w:hAnsi="Arial Unicode MS" w:cs="Arial Unicode MS"/>
          <w:sz w:val="21"/>
          <w:szCs w:val="21"/>
        </w:rPr>
        <w:t>リモネック株式会社　理学療法士　白石哲也</w:t>
      </w:r>
    </w:p>
    <w:p w14:paraId="00000003" w14:textId="77777777" w:rsidR="00BA22F9" w:rsidRDefault="00000000">
      <w:pPr>
        <w:spacing w:before="240" w:after="240" w:line="216" w:lineRule="auto"/>
        <w:rPr>
          <w:rFonts w:ascii="HiraMinProN-W3" w:eastAsia="HiraMinProN-W3" w:hAnsi="HiraMinProN-W3" w:cs="HiraMinProN-W3"/>
          <w:sz w:val="20"/>
          <w:szCs w:val="20"/>
        </w:rPr>
      </w:pPr>
      <w:r>
        <w:rPr>
          <w:rFonts w:ascii="HiraMinProN-W3" w:eastAsia="HiraMinProN-W3" w:hAnsi="HiraMinProN-W3" w:cs="HiraMinProN-W3"/>
          <w:b/>
          <w:bCs/>
          <w:sz w:val="20"/>
          <w:szCs w:val="20"/>
        </w:rPr>
        <w:t>【背景と目的】</w:t>
      </w:r>
      <w:r>
        <w:rPr>
          <w:rFonts w:ascii="HiraMinProN-W3" w:eastAsia="HiraMinProN-W3" w:hAnsi="HiraMinProN-W3" w:cs="HiraMinProN-W3"/>
          <w:sz w:val="20"/>
          <w:szCs w:val="20"/>
        </w:rPr>
        <w:br/>
        <w:t>パーキンソン病（以下：PD）は、運動症状の進行に加え、嚥下機能低下や栄養障害を合併しやすく、これらがドミノ倒しのようにロコモティブシンドロームを重症化させる。しかし、地域による医療資源の偏在により、専門的なケアを継続的に受けられない「リハビリ難民」が全国に潜在している。 本取り組みは、全国のPD当事者（早期〜中期主体）全31名を対象に、完全オンライン（Zoom等）で実施されたロコモ予防プログラムである。2024年1月から2026年2月までの約2年間、毎月の自己評価データ（ロコモ25・MNA）を縦断的にモニタリングし、「運動×知識×データ」の複合介入が機能予後に与える影響を検証した。</w:t>
      </w:r>
    </w:p>
    <w:p w14:paraId="00000004" w14:textId="77777777" w:rsidR="00BA22F9" w:rsidRDefault="00000000">
      <w:pPr>
        <w:spacing w:before="240" w:after="240" w:line="216" w:lineRule="auto"/>
        <w:rPr>
          <w:rFonts w:ascii="HiraMinProN-W3" w:eastAsia="HiraMinProN-W3" w:hAnsi="HiraMinProN-W3" w:cs="HiraMinProN-W3"/>
          <w:sz w:val="20"/>
          <w:szCs w:val="20"/>
        </w:rPr>
      </w:pPr>
      <w:r>
        <w:rPr>
          <w:rFonts w:ascii="HiraMinProN-W3" w:eastAsia="HiraMinProN-W3" w:hAnsi="HiraMinProN-W3" w:cs="HiraMinProN-W3"/>
          <w:b/>
          <w:bCs/>
          <w:sz w:val="20"/>
          <w:szCs w:val="20"/>
        </w:rPr>
        <w:t>【実践内容】</w:t>
      </w:r>
      <w:r>
        <w:rPr>
          <w:rFonts w:ascii="HiraMinProN-W3" w:eastAsia="HiraMinProN-W3" w:hAnsi="HiraMinProN-W3" w:cs="HiraMinProN-W3"/>
          <w:sz w:val="20"/>
          <w:szCs w:val="20"/>
        </w:rPr>
        <w:t xml:space="preserve"> </w:t>
      </w:r>
      <w:r>
        <w:rPr>
          <w:rFonts w:ascii="HiraMinProN-W3" w:eastAsia="HiraMinProN-W3" w:hAnsi="HiraMinProN-W3" w:cs="HiraMinProN-W3"/>
          <w:sz w:val="20"/>
          <w:szCs w:val="20"/>
        </w:rPr>
        <w:br/>
        <w:t>単なる運動教室にとどまらず、行動変容を促すための「理論」と「実践」をサイクル化させた点が特徴である。</w:t>
      </w:r>
    </w:p>
    <w:p w14:paraId="00000005" w14:textId="77777777" w:rsidR="00BA22F9" w:rsidRDefault="00000000">
      <w:pPr>
        <w:numPr>
          <w:ilvl w:val="0"/>
          <w:numId w:val="2"/>
        </w:numPr>
        <w:spacing w:before="240" w:line="216" w:lineRule="auto"/>
        <w:rPr>
          <w:rFonts w:ascii="HiraMinProN-W3" w:eastAsia="HiraMinProN-W3" w:hAnsi="HiraMinProN-W3" w:cs="HiraMinProN-W3"/>
          <w:sz w:val="20"/>
          <w:szCs w:val="20"/>
        </w:rPr>
      </w:pPr>
      <w:r>
        <w:rPr>
          <w:rFonts w:ascii="HiraMinProN-W3" w:eastAsia="HiraMinProN-W3" w:hAnsi="HiraMinProN-W3" w:cs="HiraMinProN-W3"/>
          <w:sz w:val="20"/>
          <w:szCs w:val="20"/>
        </w:rPr>
        <w:t>実践：包括的運動プログラム（週1回 30分） 「ロコトレ」を中核に据え、PD特有の固縮・姿勢反射障害に対応した協調運動を組み合わせた独自プログラムを実施。画面越しに理学療法士が動作を修正し、安全かつ効果的な負荷設定を行った。</w:t>
      </w:r>
    </w:p>
    <w:p w14:paraId="00000006" w14:textId="77777777" w:rsidR="00BA22F9" w:rsidRDefault="00000000">
      <w:pPr>
        <w:numPr>
          <w:ilvl w:val="0"/>
          <w:numId w:val="2"/>
        </w:numPr>
        <w:spacing w:line="216" w:lineRule="auto"/>
        <w:rPr>
          <w:rFonts w:ascii="HiraMinProN-W3" w:eastAsia="HiraMinProN-W3" w:hAnsi="HiraMinProN-W3" w:cs="HiraMinProN-W3"/>
          <w:sz w:val="20"/>
          <w:szCs w:val="20"/>
        </w:rPr>
      </w:pPr>
      <w:r>
        <w:rPr>
          <w:rFonts w:ascii="HiraMinProN-W3" w:eastAsia="HiraMinProN-W3" w:hAnsi="HiraMinProN-W3" w:cs="HiraMinProN-W3"/>
          <w:sz w:val="20"/>
          <w:szCs w:val="20"/>
        </w:rPr>
        <w:t>教育：多職種連携によるヘルスリテラシー向上プログラム（週1回 30分） 運動の効果を最大化し、セルフマネジメント能力を高めるため、各専門職が週替わりで「ナレッジワーク」を配信した。 運動効果の最大化と自己管理能力の向上を目的に、理学療法士・管理栄養士・言語聴覚士が講義配信を行った。ロコトレの機序や定着支援に加え、筋合成に必要なタンパク質・エネルギー管理、さらには誤嚥性肺炎を防ぐオーラルフレイル対策まで、身体機能を支える知識を包括的に提供した。</w:t>
      </w:r>
    </w:p>
    <w:p w14:paraId="00000007" w14:textId="77777777" w:rsidR="00BA22F9" w:rsidRDefault="00000000">
      <w:pPr>
        <w:numPr>
          <w:ilvl w:val="0"/>
          <w:numId w:val="2"/>
        </w:numPr>
        <w:spacing w:after="240" w:line="216" w:lineRule="auto"/>
        <w:rPr>
          <w:rFonts w:ascii="HiraMinProN-W3" w:eastAsia="HiraMinProN-W3" w:hAnsi="HiraMinProN-W3" w:cs="HiraMinProN-W3"/>
          <w:sz w:val="20"/>
          <w:szCs w:val="20"/>
        </w:rPr>
      </w:pPr>
      <w:r>
        <w:rPr>
          <w:rFonts w:ascii="HiraMinProN-W3" w:eastAsia="HiraMinProN-W3" w:hAnsi="HiraMinProN-W3" w:cs="HiraMinProN-W3"/>
          <w:sz w:val="20"/>
          <w:szCs w:val="20"/>
        </w:rPr>
        <w:t>継続：月1回の当事者オンライン交流会 全国の仲間とピアサポート（相互支援）の関係を築くことで、孤独による脱落を防ぎ、高い参加継続率を維持した。</w:t>
      </w:r>
    </w:p>
    <w:p w14:paraId="00000008" w14:textId="77777777" w:rsidR="00BA22F9" w:rsidRDefault="00000000">
      <w:pPr>
        <w:spacing w:before="240" w:after="240" w:line="216" w:lineRule="auto"/>
        <w:rPr>
          <w:rFonts w:ascii="HiraMinProN-W3" w:eastAsia="HiraMinProN-W3" w:hAnsi="HiraMinProN-W3" w:cs="HiraMinProN-W3"/>
          <w:sz w:val="20"/>
          <w:szCs w:val="20"/>
        </w:rPr>
      </w:pPr>
      <w:r>
        <w:rPr>
          <w:rFonts w:ascii="HiraMinProN-W3" w:eastAsia="HiraMinProN-W3" w:hAnsi="HiraMinProN-W3" w:cs="HiraMinProN-W3"/>
          <w:b/>
          <w:bCs/>
          <w:sz w:val="20"/>
          <w:szCs w:val="20"/>
        </w:rPr>
        <w:t>【評価と介入】</w:t>
      </w:r>
      <w:r>
        <w:rPr>
          <w:rFonts w:ascii="HiraMinProN-W3" w:eastAsia="HiraMinProN-W3" w:hAnsi="HiraMinProN-W3" w:cs="HiraMinProN-W3"/>
          <w:sz w:val="20"/>
          <w:szCs w:val="20"/>
        </w:rPr>
        <w:t xml:space="preserve"> </w:t>
      </w:r>
      <w:r>
        <w:rPr>
          <w:rFonts w:ascii="HiraMinProN-W3" w:eastAsia="HiraMinProN-W3" w:hAnsi="HiraMinProN-W3" w:cs="HiraMinProN-W3"/>
          <w:sz w:val="20"/>
          <w:szCs w:val="20"/>
        </w:rPr>
        <w:br/>
        <w:t>本プログラムの最大の独自性は、「月1回のモニタリング」を早期発見・早期治療のトリアージとして機能させた点にある。 「ロコモ25」と「MNA®-SF」の2指標を毎月収集。 スコアが悪化傾向にある参加者をデータ上で即座に検知。次回の教室を待たずに個別メッセージ等で「プッシュ型のアプローチ」を行い、食事量の見直しや運動強度の調整をアドバイス。これにより、本格的な機能低下に至る前の「未病」段階で食い止める事に成功した。</w:t>
      </w:r>
    </w:p>
    <w:p w14:paraId="00000009" w14:textId="77777777" w:rsidR="00BA22F9" w:rsidRDefault="00000000">
      <w:pPr>
        <w:spacing w:before="240" w:after="240" w:line="216" w:lineRule="auto"/>
        <w:rPr>
          <w:rFonts w:ascii="HiraMinProN-W3" w:eastAsia="HiraMinProN-W3" w:hAnsi="HiraMinProN-W3" w:cs="HiraMinProN-W3"/>
          <w:sz w:val="20"/>
          <w:szCs w:val="20"/>
        </w:rPr>
      </w:pPr>
      <w:r>
        <w:rPr>
          <w:rFonts w:ascii="HiraMinProN-W3" w:eastAsia="HiraMinProN-W3" w:hAnsi="HiraMinProN-W3" w:cs="HiraMinProN-W3"/>
          <w:b/>
          <w:bCs/>
          <w:sz w:val="20"/>
          <w:szCs w:val="20"/>
        </w:rPr>
        <w:t>【結果と考察】</w:t>
      </w:r>
      <w:r>
        <w:rPr>
          <w:rFonts w:ascii="HiraMinProN-W3" w:eastAsia="HiraMinProN-W3" w:hAnsi="HiraMinProN-W3" w:cs="HiraMinProN-W3"/>
          <w:sz w:val="20"/>
          <w:szCs w:val="20"/>
        </w:rPr>
        <w:t xml:space="preserve"> </w:t>
      </w:r>
      <w:r>
        <w:rPr>
          <w:rFonts w:ascii="HiraMinProN-W3" w:eastAsia="HiraMinProN-W3" w:hAnsi="HiraMinProN-W3" w:cs="HiraMinProN-W3"/>
          <w:sz w:val="20"/>
          <w:szCs w:val="20"/>
        </w:rPr>
        <w:br/>
        <w:t>2年間の縦断解析の結果、以下の成果が得られた。</w:t>
      </w:r>
    </w:p>
    <w:p w14:paraId="0000000A" w14:textId="77777777" w:rsidR="00BA22F9" w:rsidRDefault="00000000">
      <w:pPr>
        <w:numPr>
          <w:ilvl w:val="0"/>
          <w:numId w:val="1"/>
        </w:numPr>
        <w:spacing w:before="240" w:line="216" w:lineRule="auto"/>
        <w:rPr>
          <w:rFonts w:ascii="HiraMinProN-W3" w:eastAsia="HiraMinProN-W3" w:hAnsi="HiraMinProN-W3" w:cs="HiraMinProN-W3"/>
          <w:sz w:val="20"/>
          <w:szCs w:val="20"/>
        </w:rPr>
      </w:pPr>
      <w:r>
        <w:rPr>
          <w:rFonts w:ascii="HiraMinProN-W3" w:eastAsia="HiraMinProN-W3" w:hAnsi="HiraMinProN-W3" w:cs="HiraMinProN-W3"/>
          <w:sz w:val="20"/>
          <w:szCs w:val="20"/>
        </w:rPr>
        <w:t>ロコトレの汎用性と拡張性：PD当事者においても、ロコトレをベースとした運動習慣は、運動機能（ロコモ25スコア）の維持・改善に有意に寄与した。</w:t>
      </w:r>
    </w:p>
    <w:p w14:paraId="0000000B" w14:textId="77777777" w:rsidR="00BA22F9" w:rsidRDefault="00000000">
      <w:pPr>
        <w:numPr>
          <w:ilvl w:val="0"/>
          <w:numId w:val="1"/>
        </w:numPr>
        <w:spacing w:line="216" w:lineRule="auto"/>
        <w:rPr>
          <w:rFonts w:ascii="HiraMinProN-W3" w:eastAsia="HiraMinProN-W3" w:hAnsi="HiraMinProN-W3" w:cs="HiraMinProN-W3"/>
          <w:sz w:val="20"/>
          <w:szCs w:val="20"/>
        </w:rPr>
      </w:pPr>
      <w:r>
        <w:rPr>
          <w:rFonts w:ascii="HiraMinProN-W3" w:eastAsia="HiraMinProN-W3" w:hAnsi="HiraMinProN-W3" w:cs="HiraMinProN-W3"/>
          <w:sz w:val="20"/>
          <w:szCs w:val="20"/>
        </w:rPr>
        <w:t>知識による行動変容：「理論学習」で栄養の重要性を理解している群は、BMIの維持率が高く、結果として筋力低下を防ぐことができた。</w:t>
      </w:r>
    </w:p>
    <w:p w14:paraId="0000000C" w14:textId="77777777" w:rsidR="00BA22F9" w:rsidRDefault="00000000">
      <w:pPr>
        <w:numPr>
          <w:ilvl w:val="0"/>
          <w:numId w:val="1"/>
        </w:numPr>
        <w:spacing w:after="240" w:line="216" w:lineRule="auto"/>
        <w:rPr>
          <w:rFonts w:ascii="HiraMinProN-W3" w:eastAsia="HiraMinProN-W3" w:hAnsi="HiraMinProN-W3" w:cs="HiraMinProN-W3"/>
          <w:sz w:val="20"/>
          <w:szCs w:val="20"/>
        </w:rPr>
      </w:pPr>
      <w:r>
        <w:rPr>
          <w:rFonts w:ascii="HiraMinProN-W3" w:eastAsia="HiraMinProN-W3" w:hAnsi="HiraMinProN-W3" w:cs="HiraMinProN-W3"/>
          <w:sz w:val="20"/>
          <w:szCs w:val="20"/>
        </w:rPr>
        <w:t>予兆検知の有用性：月次モニタリングによる早期介入を受けた事例では、一時的なスコア悪化から迅速に回復する「可逆性」が確認された。</w:t>
      </w:r>
    </w:p>
    <w:p w14:paraId="0000000D" w14:textId="77777777" w:rsidR="00BA22F9" w:rsidRDefault="00000000">
      <w:pPr>
        <w:spacing w:before="240" w:after="240" w:line="216" w:lineRule="auto"/>
        <w:rPr>
          <w:rFonts w:ascii="HiraMinProN-W3" w:eastAsia="HiraMinProN-W3" w:hAnsi="HiraMinProN-W3" w:cs="HiraMinProN-W3"/>
          <w:sz w:val="20"/>
          <w:szCs w:val="20"/>
        </w:rPr>
      </w:pPr>
      <w:r>
        <w:rPr>
          <w:rFonts w:ascii="HiraMinProN-W3" w:eastAsia="HiraMinProN-W3" w:hAnsi="HiraMinProN-W3" w:cs="HiraMinProN-W3"/>
          <w:b/>
          <w:bCs/>
          <w:sz w:val="20"/>
          <w:szCs w:val="20"/>
        </w:rPr>
        <w:t xml:space="preserve">【結語】 </w:t>
      </w:r>
      <w:r>
        <w:rPr>
          <w:rFonts w:ascii="HiraMinProN-W3" w:eastAsia="HiraMinProN-W3" w:hAnsi="HiraMinProN-W3" w:cs="HiraMinProN-W3"/>
          <w:sz w:val="20"/>
          <w:szCs w:val="20"/>
        </w:rPr>
        <w:br/>
        <w:t>本モデルは、オンラインを活用することで地域格差を解消し、「ロコトレ×多職種教育×データ監視」の包括的アプローチが、進行性疾患のロコモ予防においても極めて有効であることを実証した。</w:t>
      </w:r>
    </w:p>
    <w:sectPr w:rsidR="00BA22F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D5AA382-8948-054E-BF03-631F191D9553}"/>
  </w:font>
  <w:font w:name="Arial">
    <w:panose1 w:val="020B0604020202020204"/>
    <w:charset w:val="00"/>
    <w:family w:val="swiss"/>
    <w:pitch w:val="variable"/>
    <w:sig w:usb0="E0002EFF" w:usb1="C000785B" w:usb2="00000009" w:usb3="00000000" w:csb0="000001FF" w:csb1="00000000"/>
    <w:embedRegular r:id="rId2" w:fontKey="{D94C6D01-C703-7340-8959-27472C536C01}"/>
    <w:embedItalic r:id="rId3" w:fontKey="{553C2338-216D-E14E-919E-2B56279A9CFE}"/>
  </w:font>
  <w:font w:name="ＭＳ 明朝">
    <w:altName w:val="MS Mincho"/>
    <w:panose1 w:val="02020609040205080304"/>
    <w:charset w:val="80"/>
    <w:family w:val="modern"/>
    <w:pitch w:val="fixed"/>
    <w:sig w:usb0="E00002FF" w:usb1="6AC7FDFB" w:usb2="08000012" w:usb3="00000000" w:csb0="0002009F" w:csb1="00000000"/>
    <w:embedRegular r:id="rId4" w:subsetted="1" w:fontKey="{572E0679-3119-AD43-A002-A95D32D56C5B}"/>
  </w:font>
  <w:font w:name="Arial Unicode MS">
    <w:panose1 w:val="020B0604020202020204"/>
    <w:charset w:val="80"/>
    <w:family w:val="swiss"/>
    <w:pitch w:val="variable"/>
    <w:sig w:usb0="F7FFAFFF" w:usb1="E9DFFFFF" w:usb2="0000003F" w:usb3="00000000" w:csb0="003F01FF" w:csb1="00000000"/>
    <w:embedRegular r:id="rId5" w:subsetted="1" w:fontKey="{58EF858E-7365-7E42-915D-A1AD80E51BF2}"/>
    <w:embedBold r:id="rId6" w:subsetted="1" w:fontKey="{302B65B9-C6F4-704A-826B-050DA5433FDC}"/>
  </w:font>
  <w:font w:name="HiraMinProN-W3">
    <w:panose1 w:val="02020300000000000000"/>
    <w:charset w:val="80"/>
    <w:family w:val="roman"/>
    <w:pitch w:val="variable"/>
    <w:sig w:usb0="E00002FF" w:usb1="7AC7FFFF" w:usb2="00000012" w:usb3="00000000" w:csb0="0002000D" w:csb1="00000000"/>
    <w:embedRegular r:id="rId7" w:fontKey="{42C8766B-8C07-7A4C-8991-3D3B8CD8DD55}"/>
    <w:embedBold r:id="rId8" w:subsetted="1" w:fontKey="{E5431308-E826-4D4B-9A37-F24CB4939139}"/>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5C0AB069-2153-7147-A52B-272012700AC8}"/>
  </w:font>
  <w:font w:name="Cambria">
    <w:panose1 w:val="02040503050406030204"/>
    <w:charset w:val="00"/>
    <w:family w:val="roman"/>
    <w:pitch w:val="variable"/>
    <w:sig w:usb0="E00006FF" w:usb1="420024FF" w:usb2="02000000" w:usb3="00000000" w:csb0="0000019F" w:csb1="00000000"/>
    <w:embedRegular r:id="rId10" w:fontKey="{3EB67D98-9B32-5645-BDCA-B88B1DF22B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562106"/>
    <w:multiLevelType w:val="multilevel"/>
    <w:tmpl w:val="28E2B4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2916927"/>
    <w:multiLevelType w:val="multilevel"/>
    <w:tmpl w:val="7D9E78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98066486">
    <w:abstractNumId w:val="0"/>
  </w:num>
  <w:num w:numId="2" w16cid:durableId="149760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2F9"/>
    <w:rsid w:val="004E21D1"/>
    <w:rsid w:val="00BA22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docId w15:val="{8D886143-AE44-7B46-8930-0C6910BE8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209</Words>
  <Characters>1195</Characters>
  <Application>Microsoft Office Word</Application>
  <DocSecurity>0</DocSecurity>
  <Lines>9</Lines>
  <Paragraphs>2</Paragraphs>
  <ScaleCrop>false</ScaleCrop>
  <Company/>
  <LinksUpToDate>false</LinksUpToDate>
  <CharactersWithSpaces>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二階堂 元重</cp:lastModifiedBy>
  <cp:revision>2</cp:revision>
  <dcterms:created xsi:type="dcterms:W3CDTF">2026-03-06T03:58:00Z</dcterms:created>
  <dcterms:modified xsi:type="dcterms:W3CDTF">2026-03-06T03:58:00Z</dcterms:modified>
</cp:coreProperties>
</file>